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4CE6" w:rsidRPr="000E4CE6" w:rsidRDefault="000E4CE6" w:rsidP="000E4CE6">
      <w:pPr>
        <w:spacing w:after="0"/>
        <w:jc w:val="center"/>
        <w:rPr>
          <w:rFonts w:eastAsia="Times New Roman" w:cs="Times New Roman"/>
          <w:b/>
          <w:sz w:val="26"/>
          <w:szCs w:val="26"/>
        </w:rPr>
      </w:pPr>
      <w:r w:rsidRPr="000E4CE6">
        <w:rPr>
          <w:rFonts w:eastAsia="Times New Roman" w:cs="Times New Roman"/>
          <w:b/>
          <w:sz w:val="26"/>
          <w:szCs w:val="26"/>
        </w:rPr>
        <w:t>Phụ lục 2</w:t>
      </w:r>
    </w:p>
    <w:p w:rsidR="000E4CE6" w:rsidRPr="000E4CE6" w:rsidRDefault="000E4CE6" w:rsidP="000E4CE6">
      <w:pPr>
        <w:spacing w:after="0"/>
        <w:jc w:val="center"/>
        <w:rPr>
          <w:rFonts w:eastAsia="Times New Roman" w:cs="Times New Roman"/>
          <w:b/>
          <w:sz w:val="26"/>
          <w:szCs w:val="26"/>
        </w:rPr>
      </w:pPr>
      <w:r w:rsidRPr="000E4CE6">
        <w:rPr>
          <w:rFonts w:eastAsia="Times New Roman" w:cs="Times New Roman"/>
          <w:b/>
          <w:sz w:val="26"/>
          <w:szCs w:val="26"/>
        </w:rPr>
        <w:t xml:space="preserve">DANH MỤC CÁC VĂN BẢN QUY PHẠM PHÁP LUẬT LIÊN QUAN ĐẾN  HOẠT ĐỘNG TƯƠNG TRỢ TƯ PHÁP </w:t>
      </w:r>
    </w:p>
    <w:p w:rsidR="000E4CE6" w:rsidRPr="000E4CE6" w:rsidRDefault="000E4CE6" w:rsidP="000E4CE6">
      <w:pPr>
        <w:tabs>
          <w:tab w:val="left" w:pos="13860"/>
        </w:tabs>
        <w:spacing w:after="0"/>
        <w:jc w:val="center"/>
        <w:rPr>
          <w:rFonts w:eastAsia="Times New Roman" w:cs="Times New Roman"/>
          <w:i/>
          <w:sz w:val="26"/>
          <w:szCs w:val="26"/>
        </w:rPr>
      </w:pPr>
      <w:r w:rsidRPr="000E4CE6">
        <w:rPr>
          <w:rFonts w:eastAsia="Times New Roman" w:cs="Times New Roman"/>
          <w:i/>
          <w:sz w:val="26"/>
          <w:szCs w:val="26"/>
        </w:rPr>
        <w:t xml:space="preserve">(Kèm theo Báo cáo số </w:t>
      </w:r>
      <w:r w:rsidR="00483649">
        <w:rPr>
          <w:rFonts w:eastAsia="Times New Roman" w:cs="Times New Roman"/>
          <w:i/>
          <w:sz w:val="26"/>
          <w:szCs w:val="26"/>
        </w:rPr>
        <w:t>412</w:t>
      </w:r>
      <w:r w:rsidRPr="000E4CE6">
        <w:rPr>
          <w:rFonts w:eastAsia="Times New Roman" w:cs="Times New Roman"/>
          <w:i/>
          <w:sz w:val="26"/>
          <w:szCs w:val="26"/>
        </w:rPr>
        <w:t xml:space="preserve"> /BC-BTP  ngày </w:t>
      </w:r>
      <w:r w:rsidR="00483649">
        <w:rPr>
          <w:rFonts w:eastAsia="Times New Roman" w:cs="Times New Roman"/>
          <w:i/>
          <w:sz w:val="26"/>
          <w:szCs w:val="26"/>
        </w:rPr>
        <w:t>15</w:t>
      </w:r>
      <w:r w:rsidRPr="000E4CE6">
        <w:rPr>
          <w:rFonts w:eastAsia="Times New Roman" w:cs="Times New Roman"/>
          <w:i/>
          <w:sz w:val="26"/>
          <w:szCs w:val="26"/>
        </w:rPr>
        <w:t xml:space="preserve"> tháng </w:t>
      </w:r>
      <w:r w:rsidR="00483649">
        <w:rPr>
          <w:rFonts w:eastAsia="Times New Roman" w:cs="Times New Roman"/>
          <w:i/>
          <w:sz w:val="26"/>
          <w:szCs w:val="26"/>
        </w:rPr>
        <w:t>12</w:t>
      </w:r>
      <w:bookmarkStart w:id="0" w:name="_GoBack"/>
      <w:bookmarkEnd w:id="0"/>
      <w:r w:rsidRPr="000E4CE6">
        <w:rPr>
          <w:rFonts w:eastAsia="Times New Roman" w:cs="Times New Roman"/>
          <w:i/>
          <w:sz w:val="26"/>
          <w:szCs w:val="26"/>
        </w:rPr>
        <w:t xml:space="preserve"> năm 2023 của  Bộ Tư pháp)</w:t>
      </w:r>
    </w:p>
    <w:p w:rsidR="000E4CE6" w:rsidRPr="000E4CE6" w:rsidRDefault="000E4CE6" w:rsidP="000E4CE6">
      <w:pPr>
        <w:spacing w:after="0"/>
        <w:jc w:val="center"/>
        <w:rPr>
          <w:rFonts w:eastAsia="Times New Roman" w:cs="Times New Roman"/>
          <w:b/>
          <w:sz w:val="26"/>
          <w:szCs w:val="26"/>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8752"/>
      </w:tblGrid>
      <w:tr w:rsidR="000E4CE6" w:rsidRPr="000E4CE6" w:rsidTr="0081704F">
        <w:trPr>
          <w:trHeight w:val="387"/>
        </w:trPr>
        <w:tc>
          <w:tcPr>
            <w:tcW w:w="746" w:type="dxa"/>
            <w:vAlign w:val="center"/>
          </w:tcPr>
          <w:p w:rsidR="000E4CE6" w:rsidRPr="000E4CE6" w:rsidRDefault="000E4CE6" w:rsidP="000E4CE6">
            <w:pPr>
              <w:spacing w:before="120" w:after="120" w:line="360" w:lineRule="exact"/>
              <w:jc w:val="center"/>
              <w:rPr>
                <w:rFonts w:eastAsia="Arial" w:cs="Times New Roman"/>
                <w:b/>
                <w:sz w:val="26"/>
                <w:szCs w:val="26"/>
              </w:rPr>
            </w:pPr>
            <w:r w:rsidRPr="000E4CE6">
              <w:rPr>
                <w:rFonts w:eastAsia="Arial" w:cs="Times New Roman"/>
                <w:b/>
                <w:sz w:val="26"/>
                <w:szCs w:val="26"/>
              </w:rPr>
              <w:t>STT</w:t>
            </w:r>
          </w:p>
        </w:tc>
        <w:tc>
          <w:tcPr>
            <w:tcW w:w="8752" w:type="dxa"/>
            <w:vAlign w:val="center"/>
          </w:tcPr>
          <w:p w:rsidR="000E4CE6" w:rsidRPr="000E4CE6" w:rsidRDefault="000E4CE6" w:rsidP="000E4CE6">
            <w:pPr>
              <w:spacing w:before="120" w:after="120" w:line="360" w:lineRule="exact"/>
              <w:jc w:val="center"/>
              <w:rPr>
                <w:rFonts w:eastAsia="Arial" w:cs="Times New Roman"/>
                <w:b/>
                <w:sz w:val="26"/>
                <w:szCs w:val="26"/>
              </w:rPr>
            </w:pPr>
            <w:r w:rsidRPr="000E4CE6">
              <w:rPr>
                <w:rFonts w:eastAsia="Arial" w:cs="Times New Roman"/>
                <w:b/>
                <w:sz w:val="26"/>
                <w:szCs w:val="26"/>
              </w:rPr>
              <w:t>VĂN BẢN</w:t>
            </w:r>
          </w:p>
        </w:tc>
      </w:tr>
      <w:tr w:rsidR="000E4CE6" w:rsidRPr="000E4CE6" w:rsidTr="0081704F">
        <w:tc>
          <w:tcPr>
            <w:tcW w:w="746" w:type="dxa"/>
            <w:vAlign w:val="center"/>
          </w:tcPr>
          <w:p w:rsidR="000E4CE6" w:rsidRPr="000E4CE6" w:rsidRDefault="000E4CE6" w:rsidP="000E4CE6">
            <w:pPr>
              <w:spacing w:before="120" w:after="120" w:line="360" w:lineRule="exact"/>
              <w:jc w:val="center"/>
              <w:rPr>
                <w:rFonts w:eastAsia="Arial" w:cs="Times New Roman"/>
                <w:sz w:val="26"/>
                <w:szCs w:val="26"/>
              </w:rPr>
            </w:pPr>
            <w:r w:rsidRPr="000E4CE6">
              <w:rPr>
                <w:rFonts w:eastAsia="Arial" w:cs="Times New Roman"/>
                <w:sz w:val="26"/>
                <w:szCs w:val="26"/>
              </w:rPr>
              <w:t>1</w:t>
            </w:r>
          </w:p>
        </w:tc>
        <w:tc>
          <w:tcPr>
            <w:tcW w:w="8752" w:type="dxa"/>
            <w:vAlign w:val="center"/>
          </w:tcPr>
          <w:p w:rsidR="000E4CE6" w:rsidRPr="000E4CE6" w:rsidRDefault="000E4CE6" w:rsidP="000E4CE6">
            <w:pPr>
              <w:tabs>
                <w:tab w:val="left" w:pos="0"/>
                <w:tab w:val="left" w:pos="180"/>
                <w:tab w:val="left" w:pos="360"/>
              </w:tabs>
              <w:spacing w:before="120" w:after="120" w:line="360" w:lineRule="exact"/>
              <w:jc w:val="both"/>
              <w:rPr>
                <w:rFonts w:eastAsia="Arial" w:cs="Times New Roman"/>
                <w:sz w:val="26"/>
                <w:szCs w:val="26"/>
                <w:lang w:val="nl-NL"/>
              </w:rPr>
            </w:pPr>
            <w:r w:rsidRPr="000E4CE6">
              <w:rPr>
                <w:rFonts w:eastAsia="Arial" w:cs="Times New Roman"/>
                <w:sz w:val="26"/>
                <w:szCs w:val="26"/>
                <w:lang w:val="nl-NL"/>
              </w:rPr>
              <w:t>Bộ luật Hình sự năm 2015 (sửa đổi, bổ sung năm 2017)</w:t>
            </w:r>
          </w:p>
        </w:tc>
      </w:tr>
      <w:tr w:rsidR="000E4CE6" w:rsidRPr="000E4CE6" w:rsidTr="0081704F">
        <w:tc>
          <w:tcPr>
            <w:tcW w:w="746" w:type="dxa"/>
            <w:vAlign w:val="center"/>
          </w:tcPr>
          <w:p w:rsidR="000E4CE6" w:rsidRPr="000E4CE6" w:rsidRDefault="000E4CE6" w:rsidP="000E4CE6">
            <w:pPr>
              <w:spacing w:before="120" w:after="120" w:line="360" w:lineRule="exact"/>
              <w:jc w:val="center"/>
              <w:rPr>
                <w:rFonts w:eastAsia="Arial" w:cs="Times New Roman"/>
                <w:sz w:val="26"/>
                <w:szCs w:val="26"/>
              </w:rPr>
            </w:pPr>
            <w:r w:rsidRPr="000E4CE6">
              <w:rPr>
                <w:rFonts w:eastAsia="Arial" w:cs="Times New Roman"/>
                <w:sz w:val="26"/>
                <w:szCs w:val="26"/>
              </w:rPr>
              <w:t>2</w:t>
            </w:r>
          </w:p>
        </w:tc>
        <w:tc>
          <w:tcPr>
            <w:tcW w:w="8752" w:type="dxa"/>
            <w:vAlign w:val="center"/>
          </w:tcPr>
          <w:p w:rsidR="000E4CE6" w:rsidRPr="000E4CE6" w:rsidRDefault="000E4CE6" w:rsidP="000E4CE6">
            <w:pPr>
              <w:tabs>
                <w:tab w:val="left" w:pos="0"/>
                <w:tab w:val="left" w:pos="180"/>
                <w:tab w:val="left" w:pos="360"/>
              </w:tabs>
              <w:spacing w:before="120" w:after="120" w:line="360" w:lineRule="exact"/>
              <w:jc w:val="both"/>
              <w:rPr>
                <w:rFonts w:eastAsia="Arial" w:cs="Times New Roman"/>
                <w:sz w:val="26"/>
                <w:szCs w:val="26"/>
                <w:lang w:val="nl-NL"/>
              </w:rPr>
            </w:pPr>
            <w:r w:rsidRPr="000E4CE6">
              <w:rPr>
                <w:rFonts w:eastAsia="Arial" w:cs="Times New Roman"/>
                <w:sz w:val="26"/>
                <w:szCs w:val="26"/>
                <w:lang w:val="nl-NL"/>
              </w:rPr>
              <w:t xml:space="preserve">Bộ luật tố tụng dân sự năm 2015 </w:t>
            </w:r>
          </w:p>
        </w:tc>
      </w:tr>
      <w:tr w:rsidR="000E4CE6" w:rsidRPr="000E4CE6" w:rsidTr="0081704F">
        <w:tc>
          <w:tcPr>
            <w:tcW w:w="746" w:type="dxa"/>
            <w:vAlign w:val="center"/>
          </w:tcPr>
          <w:p w:rsidR="000E4CE6" w:rsidRPr="000E4CE6" w:rsidRDefault="000E4CE6" w:rsidP="000E4CE6">
            <w:pPr>
              <w:spacing w:before="120" w:after="120" w:line="360" w:lineRule="exact"/>
              <w:jc w:val="center"/>
              <w:rPr>
                <w:rFonts w:eastAsia="Arial" w:cs="Times New Roman"/>
                <w:sz w:val="26"/>
                <w:szCs w:val="26"/>
              </w:rPr>
            </w:pPr>
            <w:r w:rsidRPr="000E4CE6">
              <w:rPr>
                <w:rFonts w:eastAsia="Arial" w:cs="Times New Roman"/>
                <w:sz w:val="26"/>
                <w:szCs w:val="26"/>
              </w:rPr>
              <w:t>3</w:t>
            </w:r>
          </w:p>
        </w:tc>
        <w:tc>
          <w:tcPr>
            <w:tcW w:w="8752" w:type="dxa"/>
            <w:vAlign w:val="center"/>
          </w:tcPr>
          <w:p w:rsidR="000E4CE6" w:rsidRPr="000E4CE6" w:rsidRDefault="000E4CE6" w:rsidP="000E4CE6">
            <w:pPr>
              <w:tabs>
                <w:tab w:val="left" w:pos="0"/>
                <w:tab w:val="left" w:pos="180"/>
                <w:tab w:val="left" w:pos="360"/>
              </w:tabs>
              <w:spacing w:before="120" w:after="120" w:line="360" w:lineRule="exact"/>
              <w:jc w:val="both"/>
              <w:rPr>
                <w:rFonts w:eastAsia="Arial" w:cs="Times New Roman"/>
                <w:sz w:val="26"/>
                <w:szCs w:val="26"/>
                <w:lang w:val="nl-NL"/>
              </w:rPr>
            </w:pPr>
            <w:r w:rsidRPr="000E4CE6">
              <w:rPr>
                <w:rFonts w:eastAsia="Arial" w:cs="Times New Roman"/>
                <w:sz w:val="26"/>
                <w:szCs w:val="26"/>
                <w:lang w:val="nl-NL"/>
              </w:rPr>
              <w:t xml:space="preserve">Bộ luật tố tụng hình sự năm 2015 </w:t>
            </w:r>
          </w:p>
        </w:tc>
      </w:tr>
      <w:tr w:rsidR="000E4CE6" w:rsidRPr="000E4CE6" w:rsidTr="0081704F">
        <w:tc>
          <w:tcPr>
            <w:tcW w:w="746" w:type="dxa"/>
            <w:vAlign w:val="center"/>
          </w:tcPr>
          <w:p w:rsidR="000E4CE6" w:rsidRPr="000E4CE6" w:rsidRDefault="000E4CE6" w:rsidP="000E4CE6">
            <w:pPr>
              <w:spacing w:before="120" w:after="120" w:line="360" w:lineRule="exact"/>
              <w:jc w:val="center"/>
              <w:rPr>
                <w:rFonts w:eastAsia="Arial" w:cs="Times New Roman"/>
                <w:sz w:val="26"/>
                <w:szCs w:val="26"/>
              </w:rPr>
            </w:pPr>
            <w:r w:rsidRPr="000E4CE6">
              <w:rPr>
                <w:rFonts w:eastAsia="Arial" w:cs="Times New Roman"/>
                <w:sz w:val="26"/>
                <w:szCs w:val="26"/>
              </w:rPr>
              <w:t>4</w:t>
            </w:r>
          </w:p>
        </w:tc>
        <w:tc>
          <w:tcPr>
            <w:tcW w:w="8752" w:type="dxa"/>
            <w:vAlign w:val="center"/>
          </w:tcPr>
          <w:p w:rsidR="000E4CE6" w:rsidRPr="000E4CE6" w:rsidRDefault="000E4CE6" w:rsidP="000E4CE6">
            <w:pPr>
              <w:tabs>
                <w:tab w:val="left" w:pos="0"/>
                <w:tab w:val="left" w:pos="180"/>
                <w:tab w:val="left" w:pos="360"/>
              </w:tabs>
              <w:spacing w:before="120" w:after="120" w:line="360" w:lineRule="exact"/>
              <w:jc w:val="both"/>
              <w:rPr>
                <w:rFonts w:eastAsia="Arial" w:cs="Times New Roman"/>
                <w:sz w:val="26"/>
                <w:szCs w:val="26"/>
                <w:lang w:val="nl-NL"/>
              </w:rPr>
            </w:pPr>
            <w:r w:rsidRPr="000E4CE6">
              <w:rPr>
                <w:rFonts w:eastAsia="Arial" w:cs="Times New Roman"/>
                <w:sz w:val="26"/>
                <w:szCs w:val="26"/>
                <w:lang w:val="nl-NL"/>
              </w:rPr>
              <w:t>Bộ luật tố tụng hành chính năm 2015</w:t>
            </w:r>
          </w:p>
        </w:tc>
      </w:tr>
      <w:tr w:rsidR="000E4CE6" w:rsidRPr="000E4CE6" w:rsidTr="0081704F">
        <w:tc>
          <w:tcPr>
            <w:tcW w:w="746" w:type="dxa"/>
            <w:vAlign w:val="center"/>
          </w:tcPr>
          <w:p w:rsidR="000E4CE6" w:rsidRPr="000E4CE6" w:rsidRDefault="000E4CE6" w:rsidP="000E4CE6">
            <w:pPr>
              <w:spacing w:before="120" w:after="120" w:line="360" w:lineRule="exact"/>
              <w:jc w:val="center"/>
              <w:rPr>
                <w:rFonts w:eastAsia="Arial" w:cs="Times New Roman"/>
                <w:sz w:val="26"/>
                <w:szCs w:val="26"/>
              </w:rPr>
            </w:pPr>
            <w:r w:rsidRPr="000E4CE6">
              <w:rPr>
                <w:rFonts w:eastAsia="Arial" w:cs="Times New Roman"/>
                <w:sz w:val="26"/>
                <w:szCs w:val="26"/>
              </w:rPr>
              <w:t>5</w:t>
            </w:r>
          </w:p>
        </w:tc>
        <w:tc>
          <w:tcPr>
            <w:tcW w:w="8752" w:type="dxa"/>
            <w:vAlign w:val="center"/>
          </w:tcPr>
          <w:p w:rsidR="000E4CE6" w:rsidRPr="000E4CE6" w:rsidRDefault="000E4CE6" w:rsidP="000E4CE6">
            <w:pPr>
              <w:tabs>
                <w:tab w:val="left" w:pos="0"/>
                <w:tab w:val="left" w:pos="180"/>
                <w:tab w:val="left" w:pos="360"/>
              </w:tabs>
              <w:spacing w:before="120" w:after="120" w:line="360" w:lineRule="exact"/>
              <w:jc w:val="both"/>
              <w:rPr>
                <w:rFonts w:eastAsia="Arial" w:cs="Times New Roman"/>
                <w:sz w:val="26"/>
                <w:szCs w:val="26"/>
                <w:lang w:val="nl-NL"/>
              </w:rPr>
            </w:pPr>
            <w:r w:rsidRPr="000E4CE6">
              <w:rPr>
                <w:rFonts w:eastAsia="Arial" w:cs="Times New Roman"/>
                <w:sz w:val="26"/>
                <w:szCs w:val="26"/>
                <w:lang w:val="nl-NL"/>
              </w:rPr>
              <w:t>Luật Thi hành án hình sự năm 2019</w:t>
            </w:r>
          </w:p>
        </w:tc>
      </w:tr>
      <w:tr w:rsidR="000E4CE6" w:rsidRPr="000E4CE6" w:rsidTr="0081704F">
        <w:tc>
          <w:tcPr>
            <w:tcW w:w="746" w:type="dxa"/>
            <w:vAlign w:val="center"/>
          </w:tcPr>
          <w:p w:rsidR="000E4CE6" w:rsidRPr="000E4CE6" w:rsidRDefault="000E4CE6" w:rsidP="000E4CE6">
            <w:pPr>
              <w:spacing w:before="120" w:after="120" w:line="360" w:lineRule="exact"/>
              <w:jc w:val="center"/>
              <w:rPr>
                <w:rFonts w:eastAsia="Arial" w:cs="Times New Roman"/>
                <w:sz w:val="26"/>
                <w:szCs w:val="26"/>
              </w:rPr>
            </w:pPr>
            <w:r w:rsidRPr="000E4CE6">
              <w:rPr>
                <w:rFonts w:eastAsia="Arial" w:cs="Times New Roman"/>
                <w:sz w:val="26"/>
                <w:szCs w:val="26"/>
              </w:rPr>
              <w:t>6</w:t>
            </w:r>
          </w:p>
        </w:tc>
        <w:tc>
          <w:tcPr>
            <w:tcW w:w="8752" w:type="dxa"/>
            <w:vAlign w:val="center"/>
          </w:tcPr>
          <w:p w:rsidR="000E4CE6" w:rsidRPr="000E4CE6" w:rsidRDefault="000E4CE6" w:rsidP="000E4CE6">
            <w:pPr>
              <w:tabs>
                <w:tab w:val="left" w:pos="0"/>
                <w:tab w:val="left" w:pos="180"/>
                <w:tab w:val="left" w:pos="360"/>
              </w:tabs>
              <w:spacing w:before="120" w:after="120" w:line="360" w:lineRule="exact"/>
              <w:jc w:val="both"/>
              <w:rPr>
                <w:rFonts w:eastAsia="Arial" w:cs="Times New Roman"/>
                <w:sz w:val="26"/>
                <w:szCs w:val="26"/>
                <w:lang w:val="nl-NL"/>
              </w:rPr>
            </w:pPr>
            <w:r w:rsidRPr="000E4CE6">
              <w:rPr>
                <w:rFonts w:eastAsia="Arial" w:cs="Times New Roman"/>
                <w:sz w:val="26"/>
                <w:szCs w:val="26"/>
                <w:lang w:val="nl-NL"/>
              </w:rPr>
              <w:t>Luật Thi hành án dân sự năm 2008 (sửa đổi, bổ sung năm 2014)</w:t>
            </w:r>
          </w:p>
        </w:tc>
      </w:tr>
      <w:tr w:rsidR="000E4CE6" w:rsidRPr="000E4CE6" w:rsidTr="0081704F">
        <w:tc>
          <w:tcPr>
            <w:tcW w:w="746" w:type="dxa"/>
            <w:vAlign w:val="center"/>
          </w:tcPr>
          <w:p w:rsidR="000E4CE6" w:rsidRPr="000E4CE6" w:rsidRDefault="000E4CE6" w:rsidP="000E4CE6">
            <w:pPr>
              <w:spacing w:before="120" w:after="120" w:line="360" w:lineRule="exact"/>
              <w:jc w:val="center"/>
              <w:rPr>
                <w:rFonts w:eastAsia="Arial" w:cs="Times New Roman"/>
                <w:sz w:val="26"/>
                <w:szCs w:val="26"/>
              </w:rPr>
            </w:pPr>
            <w:r w:rsidRPr="000E4CE6">
              <w:rPr>
                <w:rFonts w:eastAsia="Arial" w:cs="Times New Roman"/>
                <w:sz w:val="26"/>
                <w:szCs w:val="26"/>
              </w:rPr>
              <w:t>7</w:t>
            </w:r>
          </w:p>
        </w:tc>
        <w:tc>
          <w:tcPr>
            <w:tcW w:w="8752" w:type="dxa"/>
            <w:vAlign w:val="center"/>
          </w:tcPr>
          <w:p w:rsidR="000E4CE6" w:rsidRPr="000E4CE6" w:rsidRDefault="000E4CE6" w:rsidP="000E4CE6">
            <w:pPr>
              <w:tabs>
                <w:tab w:val="left" w:pos="0"/>
                <w:tab w:val="left" w:pos="180"/>
                <w:tab w:val="left" w:pos="360"/>
              </w:tabs>
              <w:spacing w:before="120" w:after="120" w:line="360" w:lineRule="exact"/>
              <w:jc w:val="both"/>
              <w:rPr>
                <w:rFonts w:eastAsia="Arial" w:cs="Times New Roman"/>
                <w:sz w:val="26"/>
                <w:szCs w:val="26"/>
                <w:lang w:val="nl-NL"/>
              </w:rPr>
            </w:pPr>
            <w:r w:rsidRPr="000E4CE6">
              <w:rPr>
                <w:rFonts w:eastAsia="Arial" w:cs="Times New Roman"/>
                <w:sz w:val="26"/>
                <w:szCs w:val="26"/>
                <w:lang w:val="nl-NL"/>
              </w:rPr>
              <w:t>Luật sửa đổi</w:t>
            </w:r>
            <w:r w:rsidRPr="000E4CE6">
              <w:rPr>
                <w:rFonts w:eastAsia="Times New Roman" w:cs="Times New Roman"/>
                <w:color w:val="000000"/>
                <w:sz w:val="26"/>
                <w:szCs w:val="26"/>
                <w:shd w:val="clear" w:color="auto" w:fill="FFFFFF"/>
              </w:rPr>
              <w:t>, bổ sung một số điều của Bộ luật tố tụng hình sự năm 2021</w:t>
            </w:r>
          </w:p>
        </w:tc>
      </w:tr>
      <w:tr w:rsidR="000E4CE6" w:rsidRPr="000E4CE6" w:rsidTr="0081704F">
        <w:tc>
          <w:tcPr>
            <w:tcW w:w="746" w:type="dxa"/>
            <w:vAlign w:val="center"/>
          </w:tcPr>
          <w:p w:rsidR="000E4CE6" w:rsidRPr="000E4CE6" w:rsidRDefault="000E4CE6" w:rsidP="000E4CE6">
            <w:pPr>
              <w:spacing w:before="120" w:after="120" w:line="360" w:lineRule="exact"/>
              <w:jc w:val="center"/>
              <w:rPr>
                <w:rFonts w:eastAsia="Arial" w:cs="Times New Roman"/>
                <w:sz w:val="26"/>
                <w:szCs w:val="26"/>
              </w:rPr>
            </w:pPr>
            <w:r w:rsidRPr="000E4CE6">
              <w:rPr>
                <w:rFonts w:eastAsia="Arial" w:cs="Times New Roman"/>
                <w:sz w:val="26"/>
                <w:szCs w:val="26"/>
              </w:rPr>
              <w:t>8</w:t>
            </w:r>
          </w:p>
        </w:tc>
        <w:tc>
          <w:tcPr>
            <w:tcW w:w="8752" w:type="dxa"/>
          </w:tcPr>
          <w:p w:rsidR="000E4CE6" w:rsidRPr="000E4CE6" w:rsidRDefault="000E4CE6" w:rsidP="000E4CE6">
            <w:pPr>
              <w:rPr>
                <w:rFonts w:eastAsia="Times New Roman" w:cs="Times New Roman"/>
                <w:sz w:val="26"/>
                <w:szCs w:val="26"/>
              </w:rPr>
            </w:pPr>
            <w:r w:rsidRPr="000E4CE6">
              <w:rPr>
                <w:rFonts w:eastAsia="Times New Roman" w:cs="Times New Roman"/>
                <w:sz w:val="26"/>
                <w:szCs w:val="26"/>
              </w:rPr>
              <w:t>Pháp lệnh thủ tục bắt giữ tàu biển năm 2008</w:t>
            </w:r>
          </w:p>
        </w:tc>
      </w:tr>
      <w:tr w:rsidR="000E4CE6" w:rsidRPr="000E4CE6" w:rsidTr="0081704F">
        <w:tc>
          <w:tcPr>
            <w:tcW w:w="746" w:type="dxa"/>
            <w:vAlign w:val="center"/>
          </w:tcPr>
          <w:p w:rsidR="000E4CE6" w:rsidRPr="000E4CE6" w:rsidRDefault="000E4CE6" w:rsidP="000E4CE6">
            <w:pPr>
              <w:spacing w:before="120" w:after="120" w:line="360" w:lineRule="exact"/>
              <w:jc w:val="center"/>
              <w:rPr>
                <w:rFonts w:eastAsia="Arial" w:cs="Times New Roman"/>
                <w:sz w:val="26"/>
                <w:szCs w:val="26"/>
              </w:rPr>
            </w:pPr>
            <w:r w:rsidRPr="000E4CE6">
              <w:rPr>
                <w:rFonts w:eastAsia="Arial" w:cs="Times New Roman"/>
                <w:sz w:val="26"/>
                <w:szCs w:val="26"/>
              </w:rPr>
              <w:t>9</w:t>
            </w:r>
          </w:p>
        </w:tc>
        <w:tc>
          <w:tcPr>
            <w:tcW w:w="8752" w:type="dxa"/>
          </w:tcPr>
          <w:p w:rsidR="000E4CE6" w:rsidRPr="000E4CE6" w:rsidRDefault="000E4CE6" w:rsidP="000E4CE6">
            <w:pPr>
              <w:rPr>
                <w:rFonts w:eastAsia="Times New Roman" w:cs="Times New Roman"/>
                <w:sz w:val="26"/>
                <w:szCs w:val="26"/>
              </w:rPr>
            </w:pPr>
            <w:r w:rsidRPr="000E4CE6">
              <w:rPr>
                <w:rFonts w:eastAsia="Times New Roman" w:cs="Times New Roman"/>
                <w:sz w:val="26"/>
                <w:szCs w:val="26"/>
              </w:rPr>
              <w:t>Pháp lệnh chi phí giám định, định giá; chi phí cho người làm chứng, người phiên dịch trong tố tụng năm 2012</w:t>
            </w:r>
          </w:p>
        </w:tc>
      </w:tr>
      <w:tr w:rsidR="000E4CE6" w:rsidRPr="000E4CE6" w:rsidTr="0081704F">
        <w:tc>
          <w:tcPr>
            <w:tcW w:w="746" w:type="dxa"/>
            <w:vAlign w:val="center"/>
          </w:tcPr>
          <w:p w:rsidR="000E4CE6" w:rsidRPr="000E4CE6" w:rsidRDefault="000E4CE6" w:rsidP="000E4CE6">
            <w:pPr>
              <w:spacing w:before="120" w:after="120" w:line="360" w:lineRule="exact"/>
              <w:jc w:val="center"/>
              <w:rPr>
                <w:rFonts w:eastAsia="Arial" w:cs="Times New Roman"/>
                <w:sz w:val="26"/>
                <w:szCs w:val="26"/>
              </w:rPr>
            </w:pPr>
            <w:r w:rsidRPr="000E4CE6">
              <w:rPr>
                <w:rFonts w:eastAsia="Arial" w:cs="Times New Roman"/>
                <w:sz w:val="26"/>
                <w:szCs w:val="26"/>
              </w:rPr>
              <w:t>10</w:t>
            </w:r>
          </w:p>
        </w:tc>
        <w:tc>
          <w:tcPr>
            <w:tcW w:w="8752" w:type="dxa"/>
            <w:vAlign w:val="center"/>
          </w:tcPr>
          <w:p w:rsidR="000E4CE6" w:rsidRPr="000E4CE6" w:rsidRDefault="000E4CE6" w:rsidP="000E4CE6">
            <w:pPr>
              <w:tabs>
                <w:tab w:val="left" w:pos="0"/>
                <w:tab w:val="left" w:pos="180"/>
                <w:tab w:val="left" w:pos="360"/>
              </w:tabs>
              <w:spacing w:before="120" w:after="120" w:line="360" w:lineRule="exact"/>
              <w:jc w:val="both"/>
              <w:rPr>
                <w:rFonts w:eastAsia="Arial" w:cs="Times New Roman"/>
                <w:sz w:val="26"/>
                <w:szCs w:val="26"/>
                <w:lang w:val="nl-NL"/>
              </w:rPr>
            </w:pPr>
            <w:r w:rsidRPr="000E4CE6">
              <w:rPr>
                <w:rFonts w:eastAsia="Arial" w:cs="Times New Roman"/>
                <w:sz w:val="26"/>
                <w:szCs w:val="26"/>
                <w:lang w:val="nl-NL"/>
              </w:rPr>
              <w:t>Nghị quyết số 02/2011/NQ-HĐTT ngày 29/7/2011 của Hội đồng thẩm phán Tòa án nhân dân tối cao hướng dẫn thi hành một số quy định của Luật tố tụng hành chính )</w:t>
            </w:r>
          </w:p>
        </w:tc>
      </w:tr>
      <w:tr w:rsidR="000E4CE6" w:rsidRPr="000E4CE6" w:rsidTr="0081704F">
        <w:tc>
          <w:tcPr>
            <w:tcW w:w="746" w:type="dxa"/>
            <w:vAlign w:val="center"/>
          </w:tcPr>
          <w:p w:rsidR="000E4CE6" w:rsidRPr="000E4CE6" w:rsidRDefault="000E4CE6" w:rsidP="000E4CE6">
            <w:pPr>
              <w:spacing w:before="120" w:after="120" w:line="360" w:lineRule="exact"/>
              <w:jc w:val="center"/>
              <w:rPr>
                <w:rFonts w:eastAsia="Arial" w:cs="Times New Roman"/>
                <w:sz w:val="26"/>
                <w:szCs w:val="26"/>
              </w:rPr>
            </w:pPr>
            <w:r w:rsidRPr="000E4CE6">
              <w:rPr>
                <w:rFonts w:eastAsia="Arial" w:cs="Times New Roman"/>
                <w:sz w:val="26"/>
                <w:szCs w:val="26"/>
              </w:rPr>
              <w:t>11</w:t>
            </w:r>
          </w:p>
        </w:tc>
        <w:tc>
          <w:tcPr>
            <w:tcW w:w="8752" w:type="dxa"/>
            <w:vAlign w:val="center"/>
          </w:tcPr>
          <w:p w:rsidR="000E4CE6" w:rsidRPr="000E4CE6" w:rsidRDefault="000E4CE6" w:rsidP="000E4CE6">
            <w:pPr>
              <w:tabs>
                <w:tab w:val="left" w:pos="0"/>
                <w:tab w:val="left" w:pos="180"/>
                <w:tab w:val="left" w:pos="360"/>
              </w:tabs>
              <w:spacing w:before="120" w:after="120" w:line="360" w:lineRule="exact"/>
              <w:jc w:val="both"/>
              <w:rPr>
                <w:rFonts w:eastAsia="Arial" w:cs="Times New Roman"/>
                <w:sz w:val="26"/>
                <w:szCs w:val="26"/>
                <w:lang w:val="nl-NL"/>
              </w:rPr>
            </w:pPr>
            <w:r w:rsidRPr="000E4CE6">
              <w:rPr>
                <w:rFonts w:eastAsia="Arial" w:cs="Times New Roman"/>
                <w:sz w:val="26"/>
                <w:szCs w:val="26"/>
                <w:lang w:val="nl-NL"/>
              </w:rPr>
              <w:t xml:space="preserve">Nghị quyết số 03/2012/NQ-HĐTT ngày 3/12/2012 của Hội đồng thẩm phán Tòa án nhân dân tối cao hướng dẫn thi hành một số quy định trong phần thứ nhất “Những quy định chung” của Bộ luật tố tụng dân sự đã được sửa đổi, bổ sung theo Luật sửa đổi, bổ sung một số điều của Bộ luật tố tụng dân sự </w:t>
            </w:r>
          </w:p>
        </w:tc>
      </w:tr>
      <w:tr w:rsidR="000E4CE6" w:rsidRPr="000E4CE6" w:rsidTr="0081704F">
        <w:tc>
          <w:tcPr>
            <w:tcW w:w="746" w:type="dxa"/>
            <w:vAlign w:val="center"/>
          </w:tcPr>
          <w:p w:rsidR="000E4CE6" w:rsidRPr="000E4CE6" w:rsidRDefault="000E4CE6" w:rsidP="000E4CE6">
            <w:pPr>
              <w:spacing w:before="120" w:after="120" w:line="360" w:lineRule="exact"/>
              <w:jc w:val="center"/>
              <w:rPr>
                <w:rFonts w:eastAsia="Arial" w:cs="Times New Roman"/>
                <w:sz w:val="26"/>
                <w:szCs w:val="26"/>
              </w:rPr>
            </w:pPr>
            <w:r w:rsidRPr="000E4CE6">
              <w:rPr>
                <w:rFonts w:eastAsia="Arial" w:cs="Times New Roman"/>
                <w:sz w:val="26"/>
                <w:szCs w:val="26"/>
              </w:rPr>
              <w:t>12</w:t>
            </w:r>
          </w:p>
        </w:tc>
        <w:tc>
          <w:tcPr>
            <w:tcW w:w="8752" w:type="dxa"/>
            <w:vAlign w:val="center"/>
          </w:tcPr>
          <w:p w:rsidR="000E4CE6" w:rsidRPr="000E4CE6" w:rsidRDefault="000E4CE6" w:rsidP="000E4CE6">
            <w:pPr>
              <w:tabs>
                <w:tab w:val="left" w:pos="0"/>
                <w:tab w:val="left" w:pos="180"/>
                <w:tab w:val="left" w:pos="360"/>
              </w:tabs>
              <w:spacing w:before="120" w:after="120" w:line="360" w:lineRule="exact"/>
              <w:jc w:val="both"/>
              <w:rPr>
                <w:rFonts w:eastAsia="Arial" w:cs="Times New Roman"/>
                <w:sz w:val="26"/>
                <w:szCs w:val="26"/>
                <w:lang w:val="nl-NL"/>
              </w:rPr>
            </w:pPr>
            <w:r w:rsidRPr="000E4CE6">
              <w:rPr>
                <w:rFonts w:eastAsia="Arial" w:cs="Times New Roman"/>
                <w:sz w:val="26"/>
                <w:szCs w:val="26"/>
                <w:lang w:val="nl-NL"/>
              </w:rPr>
              <w:t>Nghị quyết số 05/2012/NQ-HĐTP ngày 3/12/2012 của Hội đồng Thẩm phán Tòa án nhân dân tối cao hướng dẫn thi hành một số quy định trong phần thứ ba Thủ tục giải quyết vụ án tại Tòa án cấp phúc thẩm của Bộ luật tố tụng dân sự đã được sửa đổi, bổ sung theo Luật sửa đổi, bổ sung một số điều của Bộ luật tố tụng dân sự</w:t>
            </w:r>
          </w:p>
        </w:tc>
      </w:tr>
      <w:tr w:rsidR="000E4CE6" w:rsidRPr="000E4CE6" w:rsidTr="0081704F">
        <w:tc>
          <w:tcPr>
            <w:tcW w:w="746" w:type="dxa"/>
            <w:vAlign w:val="center"/>
          </w:tcPr>
          <w:p w:rsidR="000E4CE6" w:rsidRPr="000E4CE6" w:rsidRDefault="000E4CE6" w:rsidP="000E4CE6">
            <w:pPr>
              <w:spacing w:before="120" w:after="120" w:line="360" w:lineRule="exact"/>
              <w:jc w:val="center"/>
              <w:rPr>
                <w:rFonts w:eastAsia="Arial" w:cs="Times New Roman"/>
                <w:sz w:val="26"/>
                <w:szCs w:val="26"/>
              </w:rPr>
            </w:pPr>
            <w:r w:rsidRPr="000E4CE6">
              <w:rPr>
                <w:rFonts w:eastAsia="Arial" w:cs="Times New Roman"/>
                <w:sz w:val="26"/>
                <w:szCs w:val="26"/>
              </w:rPr>
              <w:t>13</w:t>
            </w:r>
          </w:p>
        </w:tc>
        <w:tc>
          <w:tcPr>
            <w:tcW w:w="8752" w:type="dxa"/>
            <w:vAlign w:val="center"/>
          </w:tcPr>
          <w:p w:rsidR="000E4CE6" w:rsidRPr="000E4CE6" w:rsidRDefault="000E4CE6" w:rsidP="000E4CE6">
            <w:pPr>
              <w:tabs>
                <w:tab w:val="left" w:pos="0"/>
                <w:tab w:val="left" w:pos="180"/>
                <w:tab w:val="left" w:pos="360"/>
              </w:tabs>
              <w:spacing w:before="120" w:after="120" w:line="360" w:lineRule="exact"/>
              <w:jc w:val="both"/>
              <w:rPr>
                <w:rFonts w:eastAsia="Arial" w:cs="Times New Roman"/>
                <w:sz w:val="26"/>
                <w:szCs w:val="26"/>
                <w:lang w:val="nl-NL"/>
              </w:rPr>
            </w:pPr>
            <w:r w:rsidRPr="000E4CE6">
              <w:rPr>
                <w:rFonts w:eastAsia="Arial" w:cs="Times New Roman"/>
                <w:sz w:val="26"/>
                <w:szCs w:val="26"/>
                <w:lang w:val="nl-NL"/>
              </w:rPr>
              <w:t>Nghị quyết số 06/2012/NQ-HĐTT ngày 3/12/2012 của Hội đồng thẩm phán Tòa án nhân dân tối cao hướng dẫn một số quy định trong phần thứ ba Thủ tục giải quyết vụ án Tại tòa án cấp phúc thẩm của Bộ luật tố tụng dân sự đã được sửa đổi, bổ sung theo Luật sửa đổi, bổ sung một số điều của Bộ luật tố tụng dân sự</w:t>
            </w:r>
          </w:p>
        </w:tc>
      </w:tr>
      <w:tr w:rsidR="000E4CE6" w:rsidRPr="000E4CE6" w:rsidTr="0081704F">
        <w:tc>
          <w:tcPr>
            <w:tcW w:w="746" w:type="dxa"/>
            <w:vAlign w:val="center"/>
          </w:tcPr>
          <w:p w:rsidR="000E4CE6" w:rsidRPr="000E4CE6" w:rsidRDefault="000E4CE6" w:rsidP="000E4CE6">
            <w:pPr>
              <w:spacing w:before="120" w:after="120" w:line="360" w:lineRule="exact"/>
              <w:jc w:val="center"/>
              <w:rPr>
                <w:rFonts w:eastAsia="Arial" w:cs="Times New Roman"/>
                <w:sz w:val="26"/>
                <w:szCs w:val="26"/>
              </w:rPr>
            </w:pPr>
            <w:r w:rsidRPr="000E4CE6">
              <w:rPr>
                <w:rFonts w:eastAsia="Arial" w:cs="Times New Roman"/>
                <w:sz w:val="26"/>
                <w:szCs w:val="26"/>
              </w:rPr>
              <w:lastRenderedPageBreak/>
              <w:t>14</w:t>
            </w:r>
          </w:p>
        </w:tc>
        <w:tc>
          <w:tcPr>
            <w:tcW w:w="8752" w:type="dxa"/>
            <w:vAlign w:val="center"/>
          </w:tcPr>
          <w:p w:rsidR="000E4CE6" w:rsidRPr="000E4CE6" w:rsidRDefault="000E4CE6" w:rsidP="000E4CE6">
            <w:pPr>
              <w:tabs>
                <w:tab w:val="left" w:pos="0"/>
                <w:tab w:val="left" w:pos="180"/>
                <w:tab w:val="left" w:pos="360"/>
              </w:tabs>
              <w:spacing w:before="120" w:after="120" w:line="360" w:lineRule="exact"/>
              <w:jc w:val="both"/>
              <w:rPr>
                <w:rFonts w:eastAsia="Arial" w:cs="Times New Roman"/>
                <w:sz w:val="26"/>
                <w:szCs w:val="26"/>
                <w:lang w:val="nl-NL"/>
              </w:rPr>
            </w:pPr>
            <w:r w:rsidRPr="000E4CE6">
              <w:rPr>
                <w:rFonts w:eastAsia="Arial" w:cs="Times New Roman"/>
                <w:sz w:val="26"/>
                <w:szCs w:val="26"/>
                <w:lang w:val="nl-NL"/>
              </w:rPr>
              <w:t>Nghị quyết số 326/2016/UBTVQH14 ngày 30/12/2016 của Ủy ban Thường vụ Quôc hội quy định về mức thu, miễn, giảm, thu, nộp, quản lý và sử dụng án phí và lệ phí tòa án</w:t>
            </w:r>
          </w:p>
        </w:tc>
      </w:tr>
      <w:tr w:rsidR="000E4CE6" w:rsidRPr="000E4CE6" w:rsidTr="0081704F">
        <w:tc>
          <w:tcPr>
            <w:tcW w:w="746" w:type="dxa"/>
            <w:vAlign w:val="center"/>
          </w:tcPr>
          <w:p w:rsidR="000E4CE6" w:rsidRPr="000E4CE6" w:rsidRDefault="000E4CE6" w:rsidP="000E4CE6">
            <w:pPr>
              <w:spacing w:before="120" w:after="120" w:line="360" w:lineRule="exact"/>
              <w:jc w:val="center"/>
              <w:rPr>
                <w:rFonts w:eastAsia="Arial" w:cs="Times New Roman"/>
                <w:sz w:val="26"/>
                <w:szCs w:val="26"/>
              </w:rPr>
            </w:pPr>
            <w:r w:rsidRPr="000E4CE6">
              <w:rPr>
                <w:rFonts w:eastAsia="Arial" w:cs="Times New Roman"/>
                <w:sz w:val="26"/>
                <w:szCs w:val="26"/>
              </w:rPr>
              <w:t>15</w:t>
            </w:r>
          </w:p>
        </w:tc>
        <w:tc>
          <w:tcPr>
            <w:tcW w:w="8752" w:type="dxa"/>
            <w:vAlign w:val="center"/>
          </w:tcPr>
          <w:p w:rsidR="000E4CE6" w:rsidRPr="000E4CE6" w:rsidRDefault="000E4CE6" w:rsidP="000E4CE6">
            <w:pPr>
              <w:tabs>
                <w:tab w:val="left" w:pos="0"/>
                <w:tab w:val="left" w:pos="180"/>
                <w:tab w:val="left" w:pos="360"/>
              </w:tabs>
              <w:spacing w:before="120" w:after="120" w:line="360" w:lineRule="exact"/>
              <w:jc w:val="both"/>
              <w:rPr>
                <w:rFonts w:eastAsia="Arial" w:cs="Times New Roman"/>
                <w:sz w:val="26"/>
                <w:szCs w:val="26"/>
                <w:lang w:val="nl-NL"/>
              </w:rPr>
            </w:pPr>
            <w:r w:rsidRPr="000E4CE6">
              <w:rPr>
                <w:rFonts w:eastAsia="Arial" w:cs="Times New Roman"/>
                <w:sz w:val="26"/>
                <w:szCs w:val="26"/>
                <w:lang w:val="nl-NL"/>
              </w:rPr>
              <w:t>Nghị quyết số 04/2017/NQ-HĐTP ngày 5/5/2017 của Hội đồng thẩm phán Tòa án nhân dân tối cao hướng dẫn một số quy định tại khoản 1 và khoản 3 của Điều 192 Bộ luật tố tụng dân sự số 92/2015/QH13 về trả lại đơn khởi kiện, quyền nộp lại đơn khởi kiện lại vụ án</w:t>
            </w:r>
          </w:p>
        </w:tc>
      </w:tr>
      <w:tr w:rsidR="000E4CE6" w:rsidRPr="000E4CE6" w:rsidTr="0081704F">
        <w:tc>
          <w:tcPr>
            <w:tcW w:w="746" w:type="dxa"/>
            <w:vAlign w:val="center"/>
          </w:tcPr>
          <w:p w:rsidR="000E4CE6" w:rsidRPr="000E4CE6" w:rsidRDefault="000E4CE6" w:rsidP="000E4CE6">
            <w:pPr>
              <w:spacing w:before="120" w:after="120" w:line="360" w:lineRule="exact"/>
              <w:jc w:val="center"/>
              <w:rPr>
                <w:rFonts w:eastAsia="Arial" w:cs="Times New Roman"/>
                <w:sz w:val="26"/>
                <w:szCs w:val="26"/>
              </w:rPr>
            </w:pPr>
            <w:r w:rsidRPr="000E4CE6">
              <w:rPr>
                <w:rFonts w:eastAsia="Arial" w:cs="Times New Roman"/>
                <w:sz w:val="26"/>
                <w:szCs w:val="26"/>
              </w:rPr>
              <w:t>16</w:t>
            </w:r>
          </w:p>
        </w:tc>
        <w:tc>
          <w:tcPr>
            <w:tcW w:w="8752" w:type="dxa"/>
            <w:vAlign w:val="center"/>
          </w:tcPr>
          <w:p w:rsidR="000E4CE6" w:rsidRPr="000E4CE6" w:rsidRDefault="000E4CE6" w:rsidP="000E4CE6">
            <w:pPr>
              <w:tabs>
                <w:tab w:val="left" w:pos="0"/>
                <w:tab w:val="left" w:pos="180"/>
                <w:tab w:val="left" w:pos="360"/>
              </w:tabs>
              <w:spacing w:before="120" w:after="120" w:line="360" w:lineRule="exact"/>
              <w:jc w:val="both"/>
              <w:rPr>
                <w:rFonts w:eastAsia="Arial" w:cs="Times New Roman"/>
                <w:sz w:val="26"/>
                <w:szCs w:val="26"/>
                <w:lang w:val="nl-NL"/>
              </w:rPr>
            </w:pPr>
            <w:r w:rsidRPr="000E4CE6">
              <w:rPr>
                <w:rFonts w:eastAsia="Arial" w:cs="Times New Roman"/>
                <w:sz w:val="26"/>
                <w:szCs w:val="26"/>
                <w:lang w:val="nl-NL"/>
              </w:rPr>
              <w:t>Nghị quyết số 03/2018/ND-HĐTP ngày 15/5/2018 của Hội đồng thẩm phán TAND tối cao hướng dẫn một số quy định của pháp luật trong giải quyết tranh chấp về xử lý nợ xấu , tài sản bảo đảm của khoản nợ xấu tại Tòa án nhân dân</w:t>
            </w:r>
          </w:p>
        </w:tc>
      </w:tr>
      <w:tr w:rsidR="000E4CE6" w:rsidRPr="000E4CE6" w:rsidTr="0081704F">
        <w:tc>
          <w:tcPr>
            <w:tcW w:w="746" w:type="dxa"/>
            <w:vAlign w:val="center"/>
          </w:tcPr>
          <w:p w:rsidR="000E4CE6" w:rsidRPr="000E4CE6" w:rsidRDefault="000E4CE6" w:rsidP="000E4CE6">
            <w:pPr>
              <w:spacing w:before="120" w:after="120" w:line="360" w:lineRule="exact"/>
              <w:jc w:val="center"/>
              <w:rPr>
                <w:rFonts w:eastAsia="Arial" w:cs="Times New Roman"/>
                <w:sz w:val="26"/>
                <w:szCs w:val="26"/>
              </w:rPr>
            </w:pPr>
            <w:r w:rsidRPr="000E4CE6">
              <w:rPr>
                <w:rFonts w:eastAsia="Arial" w:cs="Times New Roman"/>
                <w:sz w:val="26"/>
                <w:szCs w:val="26"/>
              </w:rPr>
              <w:t>17</w:t>
            </w:r>
          </w:p>
        </w:tc>
        <w:tc>
          <w:tcPr>
            <w:tcW w:w="8752" w:type="dxa"/>
            <w:vAlign w:val="center"/>
          </w:tcPr>
          <w:p w:rsidR="000E4CE6" w:rsidRPr="000E4CE6" w:rsidRDefault="000E4CE6" w:rsidP="000E4CE6">
            <w:pPr>
              <w:tabs>
                <w:tab w:val="left" w:pos="0"/>
                <w:tab w:val="left" w:pos="180"/>
                <w:tab w:val="left" w:pos="360"/>
              </w:tabs>
              <w:spacing w:before="120" w:after="120" w:line="360" w:lineRule="exact"/>
              <w:jc w:val="both"/>
              <w:rPr>
                <w:rFonts w:eastAsia="Arial" w:cs="Times New Roman"/>
                <w:sz w:val="26"/>
                <w:szCs w:val="26"/>
                <w:lang w:val="nl-NL"/>
              </w:rPr>
            </w:pPr>
            <w:r w:rsidRPr="000E4CE6">
              <w:rPr>
                <w:rFonts w:eastAsia="Arial" w:cs="Times New Roman"/>
                <w:sz w:val="26"/>
                <w:szCs w:val="26"/>
                <w:lang w:val="nl-NL"/>
              </w:rPr>
              <w:t>Nghị định 62/2015/NĐ-CP ngày 18/7/2015 của Chính phủ quy định chi tiết và hướng dẫn thi hành một số điều của Luật Thi hành án dân sự</w:t>
            </w:r>
          </w:p>
        </w:tc>
      </w:tr>
      <w:tr w:rsidR="000E4CE6" w:rsidRPr="000E4CE6" w:rsidTr="0081704F">
        <w:tc>
          <w:tcPr>
            <w:tcW w:w="746" w:type="dxa"/>
            <w:vAlign w:val="center"/>
          </w:tcPr>
          <w:p w:rsidR="000E4CE6" w:rsidRPr="000E4CE6" w:rsidRDefault="000E4CE6" w:rsidP="000E4CE6">
            <w:pPr>
              <w:spacing w:before="120" w:after="120" w:line="360" w:lineRule="exact"/>
              <w:jc w:val="center"/>
              <w:rPr>
                <w:rFonts w:eastAsia="Arial" w:cs="Times New Roman"/>
                <w:sz w:val="26"/>
                <w:szCs w:val="26"/>
              </w:rPr>
            </w:pPr>
            <w:r w:rsidRPr="000E4CE6">
              <w:rPr>
                <w:rFonts w:eastAsia="Arial" w:cs="Times New Roman"/>
                <w:sz w:val="26"/>
                <w:szCs w:val="26"/>
              </w:rPr>
              <w:t>18</w:t>
            </w:r>
          </w:p>
        </w:tc>
        <w:tc>
          <w:tcPr>
            <w:tcW w:w="8752" w:type="dxa"/>
            <w:vAlign w:val="center"/>
          </w:tcPr>
          <w:p w:rsidR="000E4CE6" w:rsidRPr="000E4CE6" w:rsidRDefault="000E4CE6" w:rsidP="000E4CE6">
            <w:pPr>
              <w:tabs>
                <w:tab w:val="left" w:pos="0"/>
                <w:tab w:val="left" w:pos="180"/>
                <w:tab w:val="left" w:pos="360"/>
              </w:tabs>
              <w:spacing w:before="120" w:after="120" w:line="360" w:lineRule="exact"/>
              <w:jc w:val="both"/>
              <w:rPr>
                <w:rFonts w:eastAsia="Arial" w:cs="Times New Roman"/>
                <w:sz w:val="26"/>
                <w:szCs w:val="26"/>
                <w:lang w:val="nl-NL"/>
              </w:rPr>
            </w:pPr>
            <w:r w:rsidRPr="000E4CE6">
              <w:rPr>
                <w:rFonts w:eastAsia="Arial" w:cs="Times New Roman"/>
                <w:sz w:val="26"/>
                <w:szCs w:val="26"/>
                <w:lang w:val="nl-NL"/>
              </w:rPr>
              <w:t>Nghị định số 33/2020/NĐ-CP ngày 17/3/2020 của Chính phủ sửa đổi, bổ sung một số điều của Nghị định số 62/2015/NĐ-CP ngày 18 tháng 7 năm 2015 của Chính phủ quy định chi tiết và hướng dẫn thi hành một số điều của Luật Thi hành án dân sự</w:t>
            </w:r>
          </w:p>
        </w:tc>
      </w:tr>
      <w:tr w:rsidR="000E4CE6" w:rsidRPr="000E4CE6" w:rsidTr="0081704F">
        <w:tc>
          <w:tcPr>
            <w:tcW w:w="746" w:type="dxa"/>
            <w:vAlign w:val="center"/>
          </w:tcPr>
          <w:p w:rsidR="000E4CE6" w:rsidRPr="000E4CE6" w:rsidRDefault="000E4CE6" w:rsidP="000E4CE6">
            <w:pPr>
              <w:spacing w:before="120" w:after="120" w:line="360" w:lineRule="exact"/>
              <w:jc w:val="center"/>
              <w:rPr>
                <w:rFonts w:eastAsia="Arial" w:cs="Times New Roman"/>
                <w:sz w:val="26"/>
                <w:szCs w:val="26"/>
              </w:rPr>
            </w:pPr>
            <w:r w:rsidRPr="000E4CE6">
              <w:rPr>
                <w:rFonts w:eastAsia="Arial" w:cs="Times New Roman"/>
                <w:sz w:val="26"/>
                <w:szCs w:val="26"/>
              </w:rPr>
              <w:t>19</w:t>
            </w:r>
          </w:p>
        </w:tc>
        <w:tc>
          <w:tcPr>
            <w:tcW w:w="8752" w:type="dxa"/>
            <w:vAlign w:val="center"/>
          </w:tcPr>
          <w:p w:rsidR="000E4CE6" w:rsidRPr="000E4CE6" w:rsidRDefault="000E4CE6" w:rsidP="000E4CE6">
            <w:pPr>
              <w:tabs>
                <w:tab w:val="left" w:pos="0"/>
                <w:tab w:val="left" w:pos="180"/>
                <w:tab w:val="left" w:pos="360"/>
              </w:tabs>
              <w:spacing w:before="120" w:after="120" w:line="360" w:lineRule="exact"/>
              <w:jc w:val="both"/>
              <w:rPr>
                <w:rFonts w:eastAsia="Arial" w:cs="Times New Roman"/>
                <w:sz w:val="26"/>
                <w:szCs w:val="26"/>
                <w:lang w:val="nl-NL"/>
              </w:rPr>
            </w:pPr>
            <w:r w:rsidRPr="000E4CE6">
              <w:rPr>
                <w:rFonts w:eastAsia="Arial" w:cs="Times New Roman"/>
                <w:sz w:val="26"/>
                <w:szCs w:val="26"/>
                <w:lang w:val="nl-NL"/>
              </w:rPr>
              <w:t xml:space="preserve">Nghị định 08/2020/NĐ-CP </w:t>
            </w:r>
            <w:r w:rsidRPr="000E4CE6">
              <w:rPr>
                <w:rFonts w:eastAsia="Calibri" w:cs="Times New Roman"/>
                <w:sz w:val="26"/>
                <w:szCs w:val="26"/>
              </w:rPr>
              <w:t>ngày 08/01/2020 về tổ chức và hoạt động của Thừa phát lại</w:t>
            </w:r>
          </w:p>
        </w:tc>
      </w:tr>
      <w:tr w:rsidR="000E4CE6" w:rsidRPr="000E4CE6" w:rsidTr="0081704F">
        <w:tc>
          <w:tcPr>
            <w:tcW w:w="746" w:type="dxa"/>
            <w:vAlign w:val="center"/>
          </w:tcPr>
          <w:p w:rsidR="000E4CE6" w:rsidRPr="000E4CE6" w:rsidRDefault="000E4CE6" w:rsidP="000E4CE6">
            <w:pPr>
              <w:spacing w:before="120" w:after="120" w:line="360" w:lineRule="exact"/>
              <w:jc w:val="center"/>
              <w:rPr>
                <w:rFonts w:eastAsia="Arial" w:cs="Times New Roman"/>
                <w:sz w:val="26"/>
                <w:szCs w:val="26"/>
              </w:rPr>
            </w:pPr>
            <w:r w:rsidRPr="000E4CE6">
              <w:rPr>
                <w:rFonts w:eastAsia="Arial" w:cs="Times New Roman"/>
                <w:sz w:val="26"/>
                <w:szCs w:val="26"/>
              </w:rPr>
              <w:t>20</w:t>
            </w:r>
          </w:p>
        </w:tc>
        <w:tc>
          <w:tcPr>
            <w:tcW w:w="8752" w:type="dxa"/>
            <w:vAlign w:val="center"/>
          </w:tcPr>
          <w:p w:rsidR="000E4CE6" w:rsidRPr="000E4CE6" w:rsidRDefault="000E4CE6" w:rsidP="000E4CE6">
            <w:pPr>
              <w:tabs>
                <w:tab w:val="left" w:pos="0"/>
                <w:tab w:val="left" w:pos="180"/>
                <w:tab w:val="left" w:pos="360"/>
              </w:tabs>
              <w:spacing w:before="120" w:after="120" w:line="360" w:lineRule="exact"/>
              <w:jc w:val="both"/>
              <w:rPr>
                <w:rFonts w:eastAsia="Arial" w:cs="Times New Roman"/>
                <w:sz w:val="26"/>
                <w:szCs w:val="26"/>
                <w:lang w:val="nl-NL"/>
              </w:rPr>
            </w:pPr>
            <w:r w:rsidRPr="000E4CE6">
              <w:rPr>
                <w:rFonts w:eastAsia="Arial" w:cs="Times New Roman"/>
                <w:sz w:val="26"/>
                <w:szCs w:val="26"/>
                <w:lang w:val="nl-NL"/>
              </w:rPr>
              <w:t>Nghị định số 133/2020/NĐ-CP ngày 09/11/2020 của Chính phủ quy định chi tiết thi hành một số điều của Luật Thi hành án hình sự.</w:t>
            </w:r>
          </w:p>
        </w:tc>
      </w:tr>
      <w:tr w:rsidR="000E4CE6" w:rsidRPr="000E4CE6" w:rsidTr="0081704F">
        <w:tc>
          <w:tcPr>
            <w:tcW w:w="746" w:type="dxa"/>
            <w:vAlign w:val="center"/>
          </w:tcPr>
          <w:p w:rsidR="000E4CE6" w:rsidRPr="000E4CE6" w:rsidRDefault="000E4CE6" w:rsidP="000E4CE6">
            <w:pPr>
              <w:spacing w:before="120" w:after="120" w:line="360" w:lineRule="exact"/>
              <w:jc w:val="center"/>
              <w:rPr>
                <w:rFonts w:eastAsia="Arial" w:cs="Times New Roman"/>
                <w:sz w:val="26"/>
                <w:szCs w:val="26"/>
              </w:rPr>
            </w:pPr>
            <w:r w:rsidRPr="000E4CE6">
              <w:rPr>
                <w:rFonts w:eastAsia="Arial" w:cs="Times New Roman"/>
                <w:sz w:val="26"/>
                <w:szCs w:val="26"/>
              </w:rPr>
              <w:t>21</w:t>
            </w:r>
          </w:p>
        </w:tc>
        <w:tc>
          <w:tcPr>
            <w:tcW w:w="8752" w:type="dxa"/>
            <w:vAlign w:val="center"/>
          </w:tcPr>
          <w:p w:rsidR="000E4CE6" w:rsidRPr="000E4CE6" w:rsidRDefault="000E4CE6" w:rsidP="000E4CE6">
            <w:pPr>
              <w:tabs>
                <w:tab w:val="left" w:pos="0"/>
                <w:tab w:val="left" w:pos="180"/>
                <w:tab w:val="left" w:pos="360"/>
              </w:tabs>
              <w:spacing w:before="120" w:after="120" w:line="360" w:lineRule="exact"/>
              <w:jc w:val="both"/>
              <w:rPr>
                <w:rFonts w:eastAsia="Arial" w:cs="Times New Roman"/>
                <w:sz w:val="26"/>
                <w:szCs w:val="26"/>
                <w:lang w:val="nl-NL"/>
              </w:rPr>
            </w:pPr>
            <w:r w:rsidRPr="000E4CE6">
              <w:rPr>
                <w:rFonts w:eastAsia="Arial" w:cs="Times New Roman"/>
                <w:sz w:val="26"/>
                <w:szCs w:val="26"/>
                <w:lang w:val="nl-NL"/>
              </w:rPr>
              <w:t>Thông tư số 54/2021/TT-BCA ngày 15/5/2021 của Bộ trưởng Bộ Công an quy định về công tác điều ước quốc tế và công tác thỏa thuận quốc tế trong Công an nhân dân</w:t>
            </w:r>
          </w:p>
        </w:tc>
      </w:tr>
    </w:tbl>
    <w:p w:rsidR="000E4CE6" w:rsidRPr="000E4CE6" w:rsidRDefault="000E4CE6" w:rsidP="000E4CE6">
      <w:pPr>
        <w:rPr>
          <w:rFonts w:eastAsia="Times New Roman" w:cs="Times New Roman"/>
          <w:sz w:val="26"/>
          <w:szCs w:val="26"/>
        </w:rPr>
      </w:pPr>
    </w:p>
    <w:p w:rsidR="00EF17C2" w:rsidRDefault="00EF17C2"/>
    <w:sectPr w:rsidR="00EF17C2" w:rsidSect="006D6A0C">
      <w:headerReference w:type="default" r:id="rId6"/>
      <w:pgSz w:w="11907" w:h="16840" w:code="9"/>
      <w:pgMar w:top="1134" w:right="1134" w:bottom="1134" w:left="1701" w:header="720" w:footer="4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B78" w:rsidRDefault="00040B78">
      <w:pPr>
        <w:spacing w:after="0" w:line="240" w:lineRule="auto"/>
      </w:pPr>
      <w:r>
        <w:separator/>
      </w:r>
    </w:p>
  </w:endnote>
  <w:endnote w:type="continuationSeparator" w:id="0">
    <w:p w:rsidR="00040B78" w:rsidRDefault="00040B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B78" w:rsidRDefault="00040B78">
      <w:pPr>
        <w:spacing w:after="0" w:line="240" w:lineRule="auto"/>
      </w:pPr>
      <w:r>
        <w:separator/>
      </w:r>
    </w:p>
  </w:footnote>
  <w:footnote w:type="continuationSeparator" w:id="0">
    <w:p w:rsidR="00040B78" w:rsidRDefault="00040B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2073309"/>
      <w:docPartObj>
        <w:docPartGallery w:val="Page Numbers (Top of Page)"/>
        <w:docPartUnique/>
      </w:docPartObj>
    </w:sdtPr>
    <w:sdtEndPr>
      <w:rPr>
        <w:noProof/>
      </w:rPr>
    </w:sdtEndPr>
    <w:sdtContent>
      <w:p w:rsidR="00A4175E" w:rsidRDefault="000E4CE6">
        <w:pPr>
          <w:pStyle w:val="Header"/>
          <w:jc w:val="center"/>
        </w:pPr>
        <w:r>
          <w:fldChar w:fldCharType="begin"/>
        </w:r>
        <w:r>
          <w:instrText xml:space="preserve"> PAGE   \* MERGEFORMAT </w:instrText>
        </w:r>
        <w:r>
          <w:fldChar w:fldCharType="separate"/>
        </w:r>
        <w:r w:rsidR="00483649">
          <w:rPr>
            <w:noProof/>
          </w:rPr>
          <w:t>2</w:t>
        </w:r>
        <w:r>
          <w:rPr>
            <w:noProof/>
          </w:rPr>
          <w:fldChar w:fldCharType="end"/>
        </w:r>
      </w:p>
    </w:sdtContent>
  </w:sdt>
  <w:p w:rsidR="00A4175E" w:rsidRDefault="00040B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CE6"/>
    <w:rsid w:val="00040B78"/>
    <w:rsid w:val="000E4CE6"/>
    <w:rsid w:val="00483649"/>
    <w:rsid w:val="007331D6"/>
    <w:rsid w:val="00826D31"/>
    <w:rsid w:val="00EF1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3A84FC-9564-42F6-9031-24A0F056F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4CE6"/>
    <w:pPr>
      <w:tabs>
        <w:tab w:val="center" w:pos="4680"/>
        <w:tab w:val="right" w:pos="9360"/>
      </w:tabs>
      <w:spacing w:after="0" w:line="240" w:lineRule="auto"/>
    </w:pPr>
    <w:rPr>
      <w:rFonts w:ascii="Calibri" w:eastAsia="Times New Roman" w:hAnsi="Calibri" w:cs="Times New Roman"/>
      <w:sz w:val="22"/>
    </w:rPr>
  </w:style>
  <w:style w:type="character" w:customStyle="1" w:styleId="HeaderChar">
    <w:name w:val="Header Char"/>
    <w:basedOn w:val="DefaultParagraphFont"/>
    <w:link w:val="Header"/>
    <w:uiPriority w:val="99"/>
    <w:rsid w:val="000E4CE6"/>
    <w:rPr>
      <w:rFonts w:ascii="Calibri" w:eastAsia="Times New Roman"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477</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vananh_514</dc:creator>
  <cp:lastModifiedBy>dell</cp:lastModifiedBy>
  <cp:revision>3</cp:revision>
  <dcterms:created xsi:type="dcterms:W3CDTF">2023-12-15T05:20:00Z</dcterms:created>
  <dcterms:modified xsi:type="dcterms:W3CDTF">2023-12-15T05:21:00Z</dcterms:modified>
</cp:coreProperties>
</file>